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F1" w:rsidRPr="000D0DFA" w:rsidRDefault="00F83EF1" w:rsidP="00442543">
      <w:pPr>
        <w:rPr>
          <w:b/>
          <w:sz w:val="28"/>
          <w:szCs w:val="28"/>
          <w:lang w:val="nl-NL"/>
        </w:rPr>
      </w:pPr>
      <w:r w:rsidRPr="000D0DFA">
        <w:rPr>
          <w:b/>
          <w:sz w:val="28"/>
          <w:szCs w:val="28"/>
          <w:lang w:val="nl-NL"/>
        </w:rPr>
        <w:t>werkgroep schoolprojectleiders bèta excellent</w:t>
      </w:r>
    </w:p>
    <w:p w:rsidR="00F86BEA" w:rsidRDefault="00F86BEA" w:rsidP="00F86BEA">
      <w:pPr>
        <w:rPr>
          <w:szCs w:val="18"/>
          <w:lang w:val="nl-NL"/>
        </w:rPr>
      </w:pPr>
    </w:p>
    <w:p w:rsidR="000D0DFA" w:rsidRPr="009F0834" w:rsidRDefault="00703A82" w:rsidP="00AE5A81">
      <w:pPr>
        <w:outlineLvl w:val="0"/>
        <w:rPr>
          <w:b/>
          <w:sz w:val="24"/>
          <w:lang w:val="nl-NL"/>
        </w:rPr>
      </w:pPr>
      <w:r>
        <w:rPr>
          <w:b/>
          <w:sz w:val="24"/>
          <w:lang w:val="nl-NL"/>
        </w:rPr>
        <w:t>Onderlegger</w:t>
      </w:r>
      <w:r w:rsidR="000D0DFA" w:rsidRPr="009F0834">
        <w:rPr>
          <w:b/>
          <w:sz w:val="24"/>
          <w:lang w:val="nl-NL"/>
        </w:rPr>
        <w:t xml:space="preserve"> Cals College</w:t>
      </w:r>
      <w:r w:rsidR="009F0834">
        <w:rPr>
          <w:b/>
          <w:sz w:val="24"/>
          <w:lang w:val="nl-NL"/>
        </w:rPr>
        <w:t>, Nieuwegein</w:t>
      </w:r>
    </w:p>
    <w:p w:rsidR="00F83EF1" w:rsidRDefault="00F83EF1" w:rsidP="00BC2F04">
      <w:pPr>
        <w:rPr>
          <w:b/>
          <w:i/>
          <w:szCs w:val="1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502"/>
      </w:tblGrid>
      <w:tr w:rsidR="00F83EF1" w:rsidRPr="002D3323">
        <w:tc>
          <w:tcPr>
            <w:tcW w:w="1951" w:type="dxa"/>
            <w:tcBorders>
              <w:right w:val="single" w:sz="12" w:space="0" w:color="auto"/>
            </w:tcBorders>
          </w:tcPr>
          <w:p w:rsidR="00F83EF1" w:rsidRPr="00801F3C" w:rsidRDefault="00F83EF1" w:rsidP="000942B8">
            <w:pPr>
              <w:rPr>
                <w:b/>
                <w:szCs w:val="18"/>
                <w:lang w:val="nl-NL"/>
              </w:rPr>
            </w:pPr>
            <w:r>
              <w:rPr>
                <w:b/>
                <w:szCs w:val="18"/>
                <w:lang w:val="nl-NL"/>
              </w:rPr>
              <w:t>bijdrage aan bouwsteen</w:t>
            </w:r>
          </w:p>
        </w:tc>
        <w:tc>
          <w:tcPr>
            <w:tcW w:w="6502" w:type="dxa"/>
            <w:tcBorders>
              <w:left w:val="single" w:sz="12" w:space="0" w:color="auto"/>
            </w:tcBorders>
          </w:tcPr>
          <w:p w:rsidR="00F83EF1" w:rsidRPr="00801F3C" w:rsidRDefault="00BE7132" w:rsidP="000942B8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Docenten als dragers van excellente schoolcultuur </w:t>
            </w:r>
          </w:p>
        </w:tc>
      </w:tr>
      <w:tr w:rsidR="00F83EF1" w:rsidRPr="002D3323">
        <w:tc>
          <w:tcPr>
            <w:tcW w:w="1951" w:type="dxa"/>
            <w:tcBorders>
              <w:right w:val="single" w:sz="12" w:space="0" w:color="auto"/>
            </w:tcBorders>
          </w:tcPr>
          <w:p w:rsidR="00F83EF1" w:rsidRPr="00801F3C" w:rsidRDefault="00F83EF1" w:rsidP="000942B8">
            <w:pPr>
              <w:rPr>
                <w:b/>
                <w:szCs w:val="18"/>
                <w:lang w:val="nl-NL"/>
              </w:rPr>
            </w:pPr>
            <w:r w:rsidRPr="00801F3C">
              <w:rPr>
                <w:b/>
                <w:szCs w:val="18"/>
                <w:lang w:val="nl-NL"/>
              </w:rPr>
              <w:t>Titel activiteit</w:t>
            </w:r>
          </w:p>
        </w:tc>
        <w:tc>
          <w:tcPr>
            <w:tcW w:w="6502" w:type="dxa"/>
            <w:tcBorders>
              <w:left w:val="single" w:sz="12" w:space="0" w:color="auto"/>
            </w:tcBorders>
          </w:tcPr>
          <w:p w:rsidR="00F83EF1" w:rsidRPr="00801F3C" w:rsidRDefault="001917B8" w:rsidP="000942B8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Hoe organiseer je dat docenten in secties en </w:t>
            </w:r>
            <w:r w:rsidR="00740C70">
              <w:rPr>
                <w:szCs w:val="18"/>
                <w:lang w:val="nl-NL"/>
              </w:rPr>
              <w:t>bètabreed</w:t>
            </w:r>
            <w:r>
              <w:rPr>
                <w:szCs w:val="18"/>
                <w:lang w:val="nl-NL"/>
              </w:rPr>
              <w:t xml:space="preserve"> </w:t>
            </w:r>
            <w:r w:rsidR="00183E5D">
              <w:rPr>
                <w:szCs w:val="18"/>
                <w:lang w:val="nl-NL"/>
              </w:rPr>
              <w:t xml:space="preserve">geïntegreerd </w:t>
            </w:r>
            <w:r>
              <w:rPr>
                <w:szCs w:val="18"/>
                <w:lang w:val="nl-NL"/>
              </w:rPr>
              <w:t>gaan werken aan excellentie</w:t>
            </w:r>
            <w:r w:rsidR="002D3323">
              <w:rPr>
                <w:szCs w:val="18"/>
                <w:lang w:val="nl-NL"/>
              </w:rPr>
              <w:t xml:space="preserve"> en stretchen</w:t>
            </w:r>
            <w:r>
              <w:rPr>
                <w:szCs w:val="18"/>
                <w:lang w:val="nl-NL"/>
              </w:rPr>
              <w:t>?</w:t>
            </w:r>
            <w:r w:rsidR="00BE7132">
              <w:rPr>
                <w:szCs w:val="18"/>
                <w:lang w:val="nl-NL"/>
              </w:rPr>
              <w:t xml:space="preserve"> </w:t>
            </w:r>
          </w:p>
        </w:tc>
      </w:tr>
      <w:tr w:rsidR="00F83EF1" w:rsidRPr="002D3323"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</w:tcPr>
          <w:p w:rsidR="00F83EF1" w:rsidRPr="00801F3C" w:rsidRDefault="00F83EF1" w:rsidP="000942B8">
            <w:pPr>
              <w:rPr>
                <w:b/>
                <w:szCs w:val="18"/>
                <w:lang w:val="nl-NL"/>
              </w:rPr>
            </w:pPr>
            <w:r w:rsidRPr="00801F3C">
              <w:rPr>
                <w:b/>
                <w:szCs w:val="18"/>
                <w:lang w:val="nl-NL"/>
              </w:rPr>
              <w:t>Inhoud</w:t>
            </w:r>
          </w:p>
        </w:tc>
        <w:tc>
          <w:tcPr>
            <w:tcW w:w="6502" w:type="dxa"/>
            <w:tcBorders>
              <w:left w:val="single" w:sz="12" w:space="0" w:color="auto"/>
              <w:bottom w:val="single" w:sz="12" w:space="0" w:color="auto"/>
            </w:tcBorders>
          </w:tcPr>
          <w:p w:rsidR="004532B7" w:rsidRPr="00D00DE9" w:rsidRDefault="004532B7" w:rsidP="004532B7">
            <w:pPr>
              <w:rPr>
                <w:b/>
                <w:szCs w:val="18"/>
                <w:lang w:val="nl-NL"/>
              </w:rPr>
            </w:pPr>
            <w:r w:rsidRPr="00D00DE9">
              <w:rPr>
                <w:b/>
                <w:szCs w:val="18"/>
                <w:lang w:val="nl-NL"/>
              </w:rPr>
              <w:t>Hoe werkt het in de praktijk?</w:t>
            </w:r>
          </w:p>
          <w:p w:rsidR="002D3323" w:rsidRDefault="002D3323" w:rsidP="000942B8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Op het Cals College nemen we aan </w:t>
            </w:r>
            <w:r w:rsidR="00BB6A85">
              <w:rPr>
                <w:szCs w:val="18"/>
                <w:lang w:val="nl-NL"/>
              </w:rPr>
              <w:t>dat een integrale aanpak van excellentiebeleid docenten helpt om</w:t>
            </w:r>
            <w:r>
              <w:rPr>
                <w:szCs w:val="18"/>
                <w:lang w:val="nl-NL"/>
              </w:rPr>
              <w:t xml:space="preserve"> dragers </w:t>
            </w:r>
            <w:r w:rsidR="00BB6A85">
              <w:rPr>
                <w:szCs w:val="18"/>
                <w:lang w:val="nl-NL"/>
              </w:rPr>
              <w:t xml:space="preserve">te </w:t>
            </w:r>
            <w:r>
              <w:rPr>
                <w:szCs w:val="18"/>
                <w:lang w:val="nl-NL"/>
              </w:rPr>
              <w:t>worden van een</w:t>
            </w:r>
            <w:r w:rsidR="00BB6A85">
              <w:rPr>
                <w:szCs w:val="18"/>
                <w:lang w:val="nl-NL"/>
              </w:rPr>
              <w:t xml:space="preserve"> excellente schoolcultuur.</w:t>
            </w:r>
          </w:p>
          <w:p w:rsidR="00D00DE9" w:rsidRDefault="00D00DE9" w:rsidP="000942B8">
            <w:pPr>
              <w:rPr>
                <w:szCs w:val="18"/>
                <w:lang w:val="nl-NL"/>
              </w:rPr>
            </w:pPr>
          </w:p>
          <w:p w:rsidR="00BB6A85" w:rsidRDefault="00D00DE9" w:rsidP="000942B8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Integraal: het </w:t>
            </w:r>
            <w:r w:rsidR="00BB6A85">
              <w:rPr>
                <w:szCs w:val="18"/>
                <w:lang w:val="nl-NL"/>
              </w:rPr>
              <w:t xml:space="preserve">schoolbeleid is herkenbaar in het </w:t>
            </w:r>
            <w:r>
              <w:rPr>
                <w:szCs w:val="18"/>
                <w:lang w:val="nl-NL"/>
              </w:rPr>
              <w:t>bètabeleid</w:t>
            </w:r>
            <w:r w:rsidR="00BB6A85">
              <w:rPr>
                <w:szCs w:val="18"/>
                <w:lang w:val="nl-NL"/>
              </w:rPr>
              <w:t xml:space="preserve"> en dat is weer herkenbaar in de se</w:t>
            </w:r>
            <w:r>
              <w:rPr>
                <w:szCs w:val="18"/>
                <w:lang w:val="nl-NL"/>
              </w:rPr>
              <w:t>ct</w:t>
            </w:r>
            <w:r w:rsidR="004532B7">
              <w:rPr>
                <w:szCs w:val="18"/>
                <w:lang w:val="nl-NL"/>
              </w:rPr>
              <w:t xml:space="preserve">ieplannen van de bètasecties, </w:t>
            </w:r>
            <w:r>
              <w:rPr>
                <w:szCs w:val="18"/>
                <w:lang w:val="nl-NL"/>
              </w:rPr>
              <w:t>in de scholing e</w:t>
            </w:r>
            <w:r w:rsidR="004532B7">
              <w:rPr>
                <w:szCs w:val="18"/>
                <w:lang w:val="nl-NL"/>
              </w:rPr>
              <w:t>n studie(mid)dagen van docenten en in de participatie aan het bèta-excellentie-programma in JCU-verband.</w:t>
            </w:r>
          </w:p>
          <w:p w:rsidR="00D00DE9" w:rsidRDefault="00D00DE9" w:rsidP="000942B8">
            <w:pPr>
              <w:rPr>
                <w:szCs w:val="18"/>
                <w:lang w:val="nl-NL"/>
              </w:rPr>
            </w:pPr>
          </w:p>
          <w:p w:rsidR="004532B7" w:rsidRDefault="00D00DE9" w:rsidP="000942B8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Op die manier is excellentie niet een hobby van enkele enthousiaste docenten, maar iets waar we ons met z’n allen aan hebben gecommitteerd. Eén van de </w:t>
            </w:r>
            <w:r w:rsidRPr="004532B7">
              <w:rPr>
                <w:b/>
                <w:szCs w:val="18"/>
                <w:lang w:val="nl-NL"/>
              </w:rPr>
              <w:t>schoolleiders</w:t>
            </w:r>
            <w:r>
              <w:rPr>
                <w:szCs w:val="18"/>
                <w:lang w:val="nl-NL"/>
              </w:rPr>
              <w:t xml:space="preserve"> is verantwoordelijk voor de bètasecties en voor het bètabeleid. </w:t>
            </w:r>
            <w:r w:rsidR="004532B7">
              <w:rPr>
                <w:szCs w:val="18"/>
                <w:lang w:val="nl-NL"/>
              </w:rPr>
              <w:t xml:space="preserve">De </w:t>
            </w:r>
            <w:r w:rsidR="004532B7" w:rsidRPr="004532B7">
              <w:rPr>
                <w:b/>
                <w:szCs w:val="18"/>
                <w:lang w:val="nl-NL"/>
              </w:rPr>
              <w:t>Stuurgroep Bèta</w:t>
            </w:r>
            <w:r w:rsidR="004532B7">
              <w:rPr>
                <w:szCs w:val="18"/>
                <w:lang w:val="nl-NL"/>
              </w:rPr>
              <w:t xml:space="preserve"> is verantwoordelijk voor de aansturing van het bèta-plan op schoolbreed niveau. De </w:t>
            </w:r>
            <w:r w:rsidR="004532B7" w:rsidRPr="004532B7">
              <w:rPr>
                <w:b/>
                <w:szCs w:val="18"/>
                <w:lang w:val="nl-NL"/>
              </w:rPr>
              <w:t>secties</w:t>
            </w:r>
            <w:r w:rsidR="004532B7">
              <w:rPr>
                <w:szCs w:val="18"/>
                <w:lang w:val="nl-NL"/>
              </w:rPr>
              <w:t xml:space="preserve"> zijn verantwoordelijk voor uitvoering van het bèta-plan op sectieniveau. De </w:t>
            </w:r>
            <w:r w:rsidR="004532B7" w:rsidRPr="004532B7">
              <w:rPr>
                <w:b/>
                <w:szCs w:val="18"/>
                <w:lang w:val="nl-NL"/>
              </w:rPr>
              <w:t>docenten</w:t>
            </w:r>
            <w:r w:rsidR="004532B7">
              <w:rPr>
                <w:szCs w:val="18"/>
                <w:lang w:val="nl-NL"/>
              </w:rPr>
              <w:t xml:space="preserve"> voor de uitvoering van het plan op het niveau van het primaire proces. Daarmee is het bèta-plan </w:t>
            </w:r>
            <w:r>
              <w:rPr>
                <w:szCs w:val="18"/>
                <w:lang w:val="nl-NL"/>
              </w:rPr>
              <w:t xml:space="preserve">op alle </w:t>
            </w:r>
            <w:r w:rsidR="004532B7">
              <w:rPr>
                <w:szCs w:val="18"/>
                <w:lang w:val="nl-NL"/>
              </w:rPr>
              <w:t>niveaus zichtbaar en qua verantwoordelijkheden verankerd.</w:t>
            </w:r>
          </w:p>
          <w:p w:rsidR="00D00DE9" w:rsidRDefault="004532B7" w:rsidP="000942B8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 </w:t>
            </w:r>
          </w:p>
          <w:p w:rsidR="0032116D" w:rsidRPr="003E0088" w:rsidRDefault="004532B7" w:rsidP="000942B8">
            <w:pPr>
              <w:rPr>
                <w:b/>
                <w:szCs w:val="18"/>
                <w:lang w:val="nl-NL"/>
              </w:rPr>
            </w:pPr>
            <w:r>
              <w:rPr>
                <w:b/>
                <w:szCs w:val="18"/>
                <w:lang w:val="nl-NL"/>
              </w:rPr>
              <w:t>Monitoring</w:t>
            </w:r>
            <w:r w:rsidR="00782A3D">
              <w:rPr>
                <w:b/>
                <w:szCs w:val="18"/>
                <w:lang w:val="nl-NL"/>
              </w:rPr>
              <w:t xml:space="preserve"> van de doelen van het </w:t>
            </w:r>
            <w:r w:rsidR="00782A3D">
              <w:rPr>
                <w:b/>
                <w:szCs w:val="18"/>
                <w:lang w:val="nl-NL"/>
              </w:rPr>
              <w:lastRenderedPageBreak/>
              <w:t>bètaplan</w:t>
            </w:r>
          </w:p>
          <w:p w:rsidR="004532B7" w:rsidRDefault="004532B7" w:rsidP="000942B8">
            <w:pPr>
              <w:rPr>
                <w:szCs w:val="18"/>
                <w:lang w:val="nl-NL"/>
              </w:rPr>
            </w:pPr>
          </w:p>
          <w:p w:rsidR="004532B7" w:rsidRDefault="004532B7" w:rsidP="000942B8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>Op elk niveau zijn evaluatiemomenten vooraf vastgesteld. Steeds is daarbij de vraag: wat wilden we bereiken, wat is er al van gerealiseerd, wat is de volgende stap?</w:t>
            </w:r>
          </w:p>
          <w:p w:rsidR="004532B7" w:rsidRDefault="004532B7" w:rsidP="000942B8">
            <w:pPr>
              <w:rPr>
                <w:szCs w:val="18"/>
                <w:lang w:val="nl-NL"/>
              </w:rPr>
            </w:pPr>
          </w:p>
          <w:p w:rsidR="004532B7" w:rsidRDefault="004532B7" w:rsidP="000942B8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Op </w:t>
            </w:r>
            <w:r w:rsidRPr="004532B7">
              <w:rPr>
                <w:b/>
                <w:szCs w:val="18"/>
                <w:lang w:val="nl-NL"/>
              </w:rPr>
              <w:t>docentniveau</w:t>
            </w:r>
            <w:r>
              <w:rPr>
                <w:szCs w:val="18"/>
                <w:lang w:val="nl-NL"/>
              </w:rPr>
              <w:t xml:space="preserve"> wordt participatie aan het bèta-plan onderdeel van de nieuwe POP’s (Persoonlijk Ontwikkel Plan) die starten vanaf augustus 2012.</w:t>
            </w:r>
          </w:p>
          <w:p w:rsidR="004532B7" w:rsidRDefault="004532B7" w:rsidP="000942B8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Op </w:t>
            </w:r>
            <w:r w:rsidRPr="004532B7">
              <w:rPr>
                <w:b/>
                <w:szCs w:val="18"/>
                <w:lang w:val="nl-NL"/>
              </w:rPr>
              <w:t>sectieniveau</w:t>
            </w:r>
            <w:r>
              <w:rPr>
                <w:szCs w:val="18"/>
                <w:lang w:val="nl-NL"/>
              </w:rPr>
              <w:t xml:space="preserve"> is het bèta-plan onderdeel van elk sectieplan. De schoolleider bespreekt driemaal per jaar de voortgang daarvan met de sectievoorzitter.</w:t>
            </w:r>
          </w:p>
          <w:p w:rsidR="004532B7" w:rsidRDefault="004532B7" w:rsidP="000942B8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Op het niveau van de </w:t>
            </w:r>
            <w:r w:rsidRPr="004532B7">
              <w:rPr>
                <w:b/>
                <w:szCs w:val="18"/>
                <w:lang w:val="nl-NL"/>
              </w:rPr>
              <w:t>aanverwante bètasecties</w:t>
            </w:r>
            <w:r>
              <w:rPr>
                <w:szCs w:val="18"/>
                <w:lang w:val="nl-NL"/>
              </w:rPr>
              <w:t xml:space="preserve"> zijn er studiemiddagen waarin het bèta-plan wordt uitgewerkt.</w:t>
            </w:r>
          </w:p>
          <w:p w:rsidR="00264B4E" w:rsidRDefault="004532B7" w:rsidP="00782A3D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Op </w:t>
            </w:r>
            <w:r w:rsidRPr="004532B7">
              <w:rPr>
                <w:b/>
                <w:szCs w:val="18"/>
                <w:lang w:val="nl-NL"/>
              </w:rPr>
              <w:t>stuurgroepniveau</w:t>
            </w:r>
            <w:r>
              <w:rPr>
                <w:szCs w:val="18"/>
                <w:lang w:val="nl-NL"/>
              </w:rPr>
              <w:t xml:space="preserve"> wordt gepeild hoe ver de sectie en de aanverwante secties zijn en aan de hand daarvan worden de volgende stappen voor de realisatie van het bèta-plan bepaald.</w:t>
            </w:r>
          </w:p>
          <w:p w:rsidR="00264B4E" w:rsidRDefault="00264B4E" w:rsidP="00782A3D">
            <w:pPr>
              <w:rPr>
                <w:szCs w:val="18"/>
                <w:lang w:val="nl-NL"/>
              </w:rPr>
            </w:pPr>
          </w:p>
          <w:p w:rsidR="00264B4E" w:rsidRPr="00186E2D" w:rsidRDefault="00264B4E" w:rsidP="00782A3D">
            <w:pPr>
              <w:rPr>
                <w:b/>
                <w:sz w:val="24"/>
                <w:lang w:val="nl-NL"/>
              </w:rPr>
            </w:pPr>
            <w:r w:rsidRPr="00186E2D">
              <w:rPr>
                <w:b/>
                <w:sz w:val="24"/>
                <w:lang w:val="nl-NL"/>
              </w:rPr>
              <w:t>Tips bij deze bouwsteen:</w:t>
            </w:r>
          </w:p>
          <w:p w:rsidR="00186E2D" w:rsidRDefault="00186E2D" w:rsidP="00782A3D">
            <w:pPr>
              <w:rPr>
                <w:szCs w:val="18"/>
                <w:lang w:val="nl-NL"/>
              </w:rPr>
            </w:pPr>
          </w:p>
          <w:p w:rsidR="00264B4E" w:rsidRDefault="00264B4E" w:rsidP="00782A3D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>-</w:t>
            </w:r>
            <w:r w:rsidR="00186E2D">
              <w:rPr>
                <w:szCs w:val="18"/>
                <w:lang w:val="nl-NL"/>
              </w:rPr>
              <w:t xml:space="preserve">Creëer gedeelde verantwoordelijkheid: </w:t>
            </w:r>
            <w:r>
              <w:rPr>
                <w:szCs w:val="18"/>
                <w:lang w:val="nl-NL"/>
              </w:rPr>
              <w:t xml:space="preserve">geef aan de stuurgroepleden de verantwoordelijkheid voor </w:t>
            </w:r>
            <w:r w:rsidR="00186E2D">
              <w:rPr>
                <w:szCs w:val="18"/>
                <w:lang w:val="nl-NL"/>
              </w:rPr>
              <w:t>(</w:t>
            </w:r>
            <w:r>
              <w:rPr>
                <w:szCs w:val="18"/>
                <w:lang w:val="nl-NL"/>
              </w:rPr>
              <w:t xml:space="preserve">een </w:t>
            </w:r>
            <w:r w:rsidR="00186E2D">
              <w:rPr>
                <w:szCs w:val="18"/>
                <w:lang w:val="nl-NL"/>
              </w:rPr>
              <w:t>onder</w:t>
            </w:r>
            <w:r>
              <w:rPr>
                <w:szCs w:val="18"/>
                <w:lang w:val="nl-NL"/>
              </w:rPr>
              <w:t>deel van</w:t>
            </w:r>
            <w:r w:rsidR="00186E2D">
              <w:rPr>
                <w:szCs w:val="18"/>
                <w:lang w:val="nl-NL"/>
              </w:rPr>
              <w:t>)</w:t>
            </w:r>
            <w:r>
              <w:rPr>
                <w:szCs w:val="18"/>
                <w:lang w:val="nl-NL"/>
              </w:rPr>
              <w:t xml:space="preserve"> het plan</w:t>
            </w:r>
          </w:p>
          <w:p w:rsidR="00186E2D" w:rsidRDefault="00186E2D" w:rsidP="00782A3D">
            <w:pPr>
              <w:rPr>
                <w:szCs w:val="18"/>
                <w:lang w:val="nl-NL"/>
              </w:rPr>
            </w:pPr>
          </w:p>
          <w:p w:rsidR="00264B4E" w:rsidRDefault="00186E2D" w:rsidP="00782A3D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>-G</w:t>
            </w:r>
            <w:r w:rsidR="00264B4E">
              <w:rPr>
                <w:szCs w:val="18"/>
                <w:lang w:val="nl-NL"/>
              </w:rPr>
              <w:t>eef tijd en ruimte voor samenwerken</w:t>
            </w:r>
            <w:r>
              <w:rPr>
                <w:szCs w:val="18"/>
                <w:lang w:val="nl-NL"/>
              </w:rPr>
              <w:t>: plan werkmiddagen, geef tijd voor het opzetten van projecten.</w:t>
            </w:r>
          </w:p>
          <w:p w:rsidR="00186E2D" w:rsidRDefault="00186E2D" w:rsidP="00782A3D">
            <w:pPr>
              <w:rPr>
                <w:szCs w:val="18"/>
                <w:lang w:val="nl-NL"/>
              </w:rPr>
            </w:pPr>
          </w:p>
          <w:p w:rsidR="00264B4E" w:rsidRDefault="00186E2D" w:rsidP="00782A3D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>-C</w:t>
            </w:r>
            <w:r w:rsidR="00264B4E">
              <w:rPr>
                <w:szCs w:val="18"/>
                <w:lang w:val="nl-NL"/>
              </w:rPr>
              <w:t>reëer betrokkenheid van zoveel mogelijk docenten:</w:t>
            </w:r>
          </w:p>
          <w:p w:rsidR="00264B4E" w:rsidRDefault="00264B4E" w:rsidP="00782A3D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lastRenderedPageBreak/>
              <w:t>informeer ze regelmatig over de stand van zaken, betrek zoveel mogelijk docenten bij de activiteiten.</w:t>
            </w:r>
          </w:p>
          <w:p w:rsidR="00186E2D" w:rsidRDefault="00186E2D" w:rsidP="00782A3D">
            <w:pPr>
              <w:rPr>
                <w:szCs w:val="18"/>
                <w:lang w:val="nl-NL"/>
              </w:rPr>
            </w:pPr>
          </w:p>
          <w:p w:rsidR="00264B4E" w:rsidRDefault="00186E2D" w:rsidP="00782A3D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>-c</w:t>
            </w:r>
            <w:r w:rsidR="00264B4E">
              <w:rPr>
                <w:szCs w:val="18"/>
                <w:lang w:val="nl-NL"/>
              </w:rPr>
              <w:t>reëer draagvlak: elke sectie is vertegenwoordigd in de stuurgroep, op de studiemiddagen wordt de inbreng van elke docent gewaardeerd, de stuurgroep stuurt bij a.h.v. geluiden van de docenten</w:t>
            </w:r>
          </w:p>
          <w:p w:rsidR="00186E2D" w:rsidRDefault="00186E2D" w:rsidP="00782A3D">
            <w:pPr>
              <w:rPr>
                <w:szCs w:val="18"/>
                <w:lang w:val="nl-NL"/>
              </w:rPr>
            </w:pPr>
          </w:p>
          <w:p w:rsidR="00264B4E" w:rsidRDefault="00186E2D" w:rsidP="00782A3D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>-V</w:t>
            </w:r>
            <w:r w:rsidR="00264B4E">
              <w:rPr>
                <w:szCs w:val="18"/>
                <w:lang w:val="nl-NL"/>
              </w:rPr>
              <w:t xml:space="preserve">eranker het </w:t>
            </w:r>
            <w:r>
              <w:rPr>
                <w:szCs w:val="18"/>
                <w:lang w:val="nl-NL"/>
              </w:rPr>
              <w:t>bèta</w:t>
            </w:r>
            <w:r w:rsidR="00264B4E">
              <w:rPr>
                <w:szCs w:val="18"/>
                <w:lang w:val="nl-NL"/>
              </w:rPr>
              <w:t>-pla</w:t>
            </w:r>
            <w:r>
              <w:rPr>
                <w:szCs w:val="18"/>
                <w:lang w:val="nl-NL"/>
              </w:rPr>
              <w:t>n: regel tijd en geld, maak een</w:t>
            </w:r>
            <w:r w:rsidR="00264B4E">
              <w:rPr>
                <w:szCs w:val="18"/>
                <w:lang w:val="nl-NL"/>
              </w:rPr>
              <w:t xml:space="preserve"> sch</w:t>
            </w:r>
            <w:r>
              <w:rPr>
                <w:szCs w:val="18"/>
                <w:lang w:val="nl-NL"/>
              </w:rPr>
              <w:t>oolleider eindverantwoordelijk.</w:t>
            </w:r>
          </w:p>
          <w:p w:rsidR="004532B7" w:rsidRDefault="004532B7" w:rsidP="00782A3D">
            <w:pPr>
              <w:rPr>
                <w:szCs w:val="18"/>
                <w:lang w:val="nl-NL"/>
              </w:rPr>
            </w:pPr>
          </w:p>
          <w:p w:rsidR="004532B7" w:rsidRDefault="004532B7" w:rsidP="00782A3D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-stel de doelen van je beta-plan hard, maar geef ruimte voor de weg naar de doelen toe. </w:t>
            </w:r>
          </w:p>
          <w:p w:rsidR="00264B4E" w:rsidRDefault="004532B7" w:rsidP="00782A3D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 xml:space="preserve"> </w:t>
            </w:r>
          </w:p>
          <w:p w:rsidR="00264B4E" w:rsidRDefault="00186E2D" w:rsidP="00782A3D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>-creëer zichtbaarheid: gebruik het personeelsblad om bèta-activiteiten en successen te delen.</w:t>
            </w:r>
          </w:p>
          <w:p w:rsidR="00186E2D" w:rsidRDefault="00186E2D" w:rsidP="00186E2D">
            <w:pPr>
              <w:rPr>
                <w:szCs w:val="18"/>
                <w:lang w:val="nl-NL"/>
              </w:rPr>
            </w:pPr>
          </w:p>
          <w:p w:rsidR="00186E2D" w:rsidRDefault="00186E2D" w:rsidP="00186E2D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>-leg aan het begin van het schooljaar de overlegmomenten van de stuurgroep vast.</w:t>
            </w:r>
          </w:p>
          <w:p w:rsidR="004532B7" w:rsidRDefault="004532B7" w:rsidP="00782A3D">
            <w:pPr>
              <w:rPr>
                <w:szCs w:val="18"/>
                <w:lang w:val="nl-NL"/>
              </w:rPr>
            </w:pPr>
          </w:p>
          <w:p w:rsidR="004532B7" w:rsidRPr="004532B7" w:rsidRDefault="004532B7" w:rsidP="00782A3D">
            <w:pPr>
              <w:rPr>
                <w:b/>
                <w:szCs w:val="18"/>
                <w:lang w:val="nl-NL"/>
              </w:rPr>
            </w:pPr>
            <w:r w:rsidRPr="004532B7">
              <w:rPr>
                <w:b/>
                <w:szCs w:val="18"/>
                <w:lang w:val="nl-NL"/>
              </w:rPr>
              <w:t xml:space="preserve">Meer info? Jeroen Kwaaitaal, </w:t>
            </w:r>
            <w:hyperlink r:id="rId7" w:history="1">
              <w:r w:rsidRPr="004532B7">
                <w:rPr>
                  <w:rStyle w:val="Hyperlink"/>
                  <w:b/>
                  <w:szCs w:val="18"/>
                  <w:lang w:val="nl-NL"/>
                </w:rPr>
                <w:t>j.kwaaitaal@cals.nl</w:t>
              </w:r>
            </w:hyperlink>
          </w:p>
          <w:p w:rsidR="00264B4E" w:rsidRPr="00801F3C" w:rsidRDefault="00264B4E" w:rsidP="00782A3D">
            <w:pPr>
              <w:rPr>
                <w:szCs w:val="18"/>
                <w:lang w:val="nl-NL"/>
              </w:rPr>
            </w:pPr>
          </w:p>
        </w:tc>
      </w:tr>
    </w:tbl>
    <w:p w:rsidR="00F83EF1" w:rsidRPr="0003084C" w:rsidRDefault="00F83EF1" w:rsidP="000D0DFA">
      <w:pPr>
        <w:rPr>
          <w:sz w:val="18"/>
          <w:szCs w:val="18"/>
          <w:lang w:val="nl-NL"/>
        </w:rPr>
      </w:pPr>
    </w:p>
    <w:sectPr w:rsidR="00F83EF1" w:rsidRPr="0003084C" w:rsidSect="00EA19C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4E" w:rsidRDefault="00264B4E" w:rsidP="006E2B0E">
      <w:r>
        <w:separator/>
      </w:r>
    </w:p>
  </w:endnote>
  <w:endnote w:type="continuationSeparator" w:id="1">
    <w:p w:rsidR="00264B4E" w:rsidRDefault="00264B4E" w:rsidP="006E2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4E" w:rsidRDefault="00264B4E" w:rsidP="006E2B0E">
      <w:r>
        <w:separator/>
      </w:r>
    </w:p>
  </w:footnote>
  <w:footnote w:type="continuationSeparator" w:id="1">
    <w:p w:rsidR="00264B4E" w:rsidRDefault="00264B4E" w:rsidP="006E2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6D6"/>
    <w:multiLevelType w:val="hybridMultilevel"/>
    <w:tmpl w:val="414EDCA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12A2"/>
    <w:multiLevelType w:val="hybridMultilevel"/>
    <w:tmpl w:val="5F165A30"/>
    <w:lvl w:ilvl="0" w:tplc="78EEB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16C5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2" w:tplc="D38058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35287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376BD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A146F4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77000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128C2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3D4B34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180C3B65"/>
    <w:multiLevelType w:val="hybridMultilevel"/>
    <w:tmpl w:val="5DD65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50D3D"/>
    <w:multiLevelType w:val="hybridMultilevel"/>
    <w:tmpl w:val="077EDD28"/>
    <w:lvl w:ilvl="0" w:tplc="FF16A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E5EC23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8ECA7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127C63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108B7D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AD4FF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389652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090494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572E5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33E3587D"/>
    <w:multiLevelType w:val="hybridMultilevel"/>
    <w:tmpl w:val="FEF22978"/>
    <w:lvl w:ilvl="0" w:tplc="C32C23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701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84C"/>
    <w:rsid w:val="0003084C"/>
    <w:rsid w:val="000860D6"/>
    <w:rsid w:val="000942B8"/>
    <w:rsid w:val="000945CE"/>
    <w:rsid w:val="000B403B"/>
    <w:rsid w:val="000D0DFA"/>
    <w:rsid w:val="00121508"/>
    <w:rsid w:val="00183E5D"/>
    <w:rsid w:val="00186E2D"/>
    <w:rsid w:val="001917B8"/>
    <w:rsid w:val="001E4ABC"/>
    <w:rsid w:val="00244B32"/>
    <w:rsid w:val="00252D26"/>
    <w:rsid w:val="00264B4E"/>
    <w:rsid w:val="00294A56"/>
    <w:rsid w:val="002D3323"/>
    <w:rsid w:val="00303062"/>
    <w:rsid w:val="0032116D"/>
    <w:rsid w:val="003A0558"/>
    <w:rsid w:val="003E0088"/>
    <w:rsid w:val="00442543"/>
    <w:rsid w:val="004532B7"/>
    <w:rsid w:val="00472A34"/>
    <w:rsid w:val="004A61D2"/>
    <w:rsid w:val="004C3DE7"/>
    <w:rsid w:val="00541ED3"/>
    <w:rsid w:val="00591BFF"/>
    <w:rsid w:val="00667139"/>
    <w:rsid w:val="006819EC"/>
    <w:rsid w:val="006E2B0E"/>
    <w:rsid w:val="00703A82"/>
    <w:rsid w:val="00740C70"/>
    <w:rsid w:val="00782A3D"/>
    <w:rsid w:val="00793C1C"/>
    <w:rsid w:val="007D5D1C"/>
    <w:rsid w:val="007F1F70"/>
    <w:rsid w:val="00801F3C"/>
    <w:rsid w:val="00853D33"/>
    <w:rsid w:val="00870D42"/>
    <w:rsid w:val="00883458"/>
    <w:rsid w:val="008A3A0E"/>
    <w:rsid w:val="00951EE1"/>
    <w:rsid w:val="009934E2"/>
    <w:rsid w:val="009C398F"/>
    <w:rsid w:val="009F0834"/>
    <w:rsid w:val="00A344E3"/>
    <w:rsid w:val="00A85D3F"/>
    <w:rsid w:val="00AA1791"/>
    <w:rsid w:val="00AE16D9"/>
    <w:rsid w:val="00AE5A81"/>
    <w:rsid w:val="00AE7575"/>
    <w:rsid w:val="00B20703"/>
    <w:rsid w:val="00B33C82"/>
    <w:rsid w:val="00BB6A85"/>
    <w:rsid w:val="00BC2F04"/>
    <w:rsid w:val="00BE7132"/>
    <w:rsid w:val="00CF5F50"/>
    <w:rsid w:val="00D00DE9"/>
    <w:rsid w:val="00D229B7"/>
    <w:rsid w:val="00D555F1"/>
    <w:rsid w:val="00DA626A"/>
    <w:rsid w:val="00DB4633"/>
    <w:rsid w:val="00E75D09"/>
    <w:rsid w:val="00E94D14"/>
    <w:rsid w:val="00EA19C1"/>
    <w:rsid w:val="00EB5A87"/>
    <w:rsid w:val="00F83EF1"/>
    <w:rsid w:val="00F86BEA"/>
    <w:rsid w:val="00F9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84C"/>
    <w:rPr>
      <w:rFonts w:ascii="Verdana" w:hAnsi="Verdana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0308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9C398F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DB4633"/>
    <w:rPr>
      <w:rFonts w:cs="Times New Roman"/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rsid w:val="006E2B0E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6E2B0E"/>
    <w:rPr>
      <w:rFonts w:ascii="Verdana" w:hAnsi="Verdana" w:cs="Times New Roman"/>
    </w:rPr>
  </w:style>
  <w:style w:type="character" w:styleId="Voetnootmarkering">
    <w:name w:val="footnote reference"/>
    <w:basedOn w:val="Standaardalinea-lettertype"/>
    <w:uiPriority w:val="99"/>
    <w:rsid w:val="006E2B0E"/>
    <w:rPr>
      <w:rFonts w:cs="Times New Roman"/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rsid w:val="00EB5A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463"/>
    <w:rPr>
      <w:sz w:val="0"/>
      <w:szCs w:val="0"/>
    </w:rPr>
  </w:style>
  <w:style w:type="character" w:styleId="Verwijzingopmerking">
    <w:name w:val="annotation reference"/>
    <w:basedOn w:val="Standaardalinea-lettertype"/>
    <w:uiPriority w:val="99"/>
    <w:semiHidden/>
    <w:rsid w:val="00EB5A8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EB5A8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5463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EB5A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54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6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kwaaitaal@cal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3e bijeenkomst werkgroep schoolprojectleiders bèta excellent</vt:lpstr>
    </vt:vector>
  </TitlesOfParts>
  <Company>Utrecht University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3e bijeenkomst werkgroep schoolprojectleiders bèta excellent</dc:title>
  <dc:creator>tromp108</dc:creator>
  <cp:lastModifiedBy>kwaaitaal</cp:lastModifiedBy>
  <cp:revision>2</cp:revision>
  <cp:lastPrinted>2012-02-14T15:31:00Z</cp:lastPrinted>
  <dcterms:created xsi:type="dcterms:W3CDTF">2012-05-07T15:28:00Z</dcterms:created>
  <dcterms:modified xsi:type="dcterms:W3CDTF">2012-05-07T15:28:00Z</dcterms:modified>
</cp:coreProperties>
</file>